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83CB" w14:textId="77777777" w:rsidR="009C4C52" w:rsidRDefault="009C4C52"/>
    <w:p w14:paraId="31DCDE76" w14:textId="77777777" w:rsidR="009C4C52" w:rsidRDefault="00647E5F">
      <w:pPr>
        <w:rPr>
          <w:rFonts w:ascii="Century Gothic" w:eastAsia="Century Gothic" w:hAnsi="Century Gothic" w:cs="Century Gothic"/>
          <w:b/>
          <w:sz w:val="28"/>
          <w:szCs w:val="28"/>
        </w:rPr>
      </w:pPr>
      <w:r>
        <w:t xml:space="preserve">                            </w:t>
      </w:r>
      <w:r>
        <w:rPr>
          <w:rFonts w:ascii="Century Gothic" w:eastAsia="Century Gothic" w:hAnsi="Century Gothic" w:cs="Century Gothic"/>
          <w:b/>
          <w:sz w:val="28"/>
          <w:szCs w:val="28"/>
        </w:rPr>
        <w:t>Highland Council: Early Years Profiling and Reporting</w:t>
      </w:r>
    </w:p>
    <w:p w14:paraId="014F14EF" w14:textId="77777777" w:rsidR="009C4C52" w:rsidRDefault="00647E5F">
      <w:pPr>
        <w:rPr>
          <w:rFonts w:ascii="Century Gothic" w:eastAsia="Century Gothic" w:hAnsi="Century Gothic" w:cs="Century Gothic"/>
        </w:rPr>
      </w:pPr>
      <w:r>
        <w:rPr>
          <w:rFonts w:ascii="Tahoma" w:eastAsia="Tahoma" w:hAnsi="Tahoma" w:cs="Tahoma"/>
        </w:rPr>
        <w:t>H</w:t>
      </w:r>
      <w:r>
        <w:rPr>
          <w:rFonts w:ascii="Century Gothic" w:eastAsia="Century Gothic" w:hAnsi="Century Gothic" w:cs="Century Gothic"/>
        </w:rPr>
        <w:t>ighland Council is supporting on</w:t>
      </w:r>
      <w:r>
        <w:rPr>
          <w:rFonts w:ascii="Century Gothic" w:eastAsia="Century Gothic" w:hAnsi="Century Gothic" w:cs="Century Gothic"/>
          <w:highlight w:val="white"/>
        </w:rPr>
        <w:t>going</w:t>
      </w:r>
      <w:r>
        <w:rPr>
          <w:rFonts w:ascii="Century Gothic" w:eastAsia="Century Gothic" w:hAnsi="Century Gothic" w:cs="Century Gothic"/>
        </w:rPr>
        <w:t xml:space="preserve"> Profiling and Reporting to enable increased family engagement across all Early Learning and Childcare (ELC) settings and schools. In ELC, with the learner at the centre, practitioners support ongoing profiling and reporting through: </w:t>
      </w:r>
    </w:p>
    <w:p w14:paraId="51E2D3EA" w14:textId="77777777" w:rsidR="009C4C52" w:rsidRDefault="00647E5F">
      <w:pPr>
        <w:rPr>
          <w:rFonts w:ascii="Century Gothic" w:eastAsia="Century Gothic" w:hAnsi="Century Gothic" w:cs="Century Gothic"/>
        </w:rPr>
      </w:pPr>
      <w:r>
        <w:rPr>
          <w:rFonts w:ascii="Symbol" w:eastAsia="Symbol" w:hAnsi="Symbol" w:cs="Symbol"/>
        </w:rPr>
        <w:t>∙</w:t>
      </w:r>
      <w:r>
        <w:rPr>
          <w:rFonts w:ascii="Century Gothic" w:eastAsia="Century Gothic" w:hAnsi="Century Gothic" w:cs="Century Gothic"/>
        </w:rPr>
        <w:t xml:space="preserve"> a child centred curriculum </w:t>
      </w:r>
    </w:p>
    <w:p w14:paraId="05E88F9B" w14:textId="77777777" w:rsidR="009C4C52" w:rsidRDefault="00647E5F">
      <w:pPr>
        <w:rPr>
          <w:rFonts w:ascii="Century Gothic" w:eastAsia="Century Gothic" w:hAnsi="Century Gothic" w:cs="Century Gothic"/>
        </w:rPr>
      </w:pPr>
      <w:r>
        <w:rPr>
          <w:rFonts w:ascii="Symbol" w:eastAsia="Symbol" w:hAnsi="Symbol" w:cs="Symbol"/>
        </w:rPr>
        <w:t>∙</w:t>
      </w:r>
      <w:r>
        <w:rPr>
          <w:rFonts w:ascii="Century Gothic" w:eastAsia="Century Gothic" w:hAnsi="Century Gothic" w:cs="Century Gothic"/>
        </w:rPr>
        <w:t xml:space="preserve"> quality observations and learning conversations </w:t>
      </w:r>
    </w:p>
    <w:p w14:paraId="45D9D2D9" w14:textId="77777777" w:rsidR="009C4C52" w:rsidRDefault="00647E5F">
      <w:pPr>
        <w:rPr>
          <w:rFonts w:ascii="Century Gothic" w:eastAsia="Century Gothic" w:hAnsi="Century Gothic" w:cs="Century Gothic"/>
        </w:rPr>
      </w:pPr>
      <w:r>
        <w:rPr>
          <w:rFonts w:ascii="Symbol" w:eastAsia="Symbol" w:hAnsi="Symbol" w:cs="Symbol"/>
        </w:rPr>
        <w:t>∙</w:t>
      </w:r>
      <w:r>
        <w:rPr>
          <w:rFonts w:ascii="Century Gothic" w:eastAsia="Century Gothic" w:hAnsi="Century Gothic" w:cs="Century Gothic"/>
        </w:rPr>
        <w:t xml:space="preserve"> effective family engagement.</w:t>
      </w:r>
    </w:p>
    <w:p w14:paraId="507AA8BF" w14:textId="77777777" w:rsidR="009C4C52" w:rsidRDefault="009C4C52">
      <w:pPr>
        <w:rPr>
          <w:rFonts w:ascii="Century Gothic" w:eastAsia="Century Gothic" w:hAnsi="Century Gothic" w:cs="Century Gothic"/>
        </w:rPr>
      </w:pPr>
    </w:p>
    <w:p w14:paraId="0CA88008" w14:textId="77777777" w:rsidR="009C4C52" w:rsidRDefault="00647E5F">
      <w:pPr>
        <w:jc w:val="center"/>
        <w:rPr>
          <w:rFonts w:ascii="Century Gothic" w:eastAsia="Century Gothic" w:hAnsi="Century Gothic" w:cs="Century Gothic"/>
        </w:rPr>
      </w:pPr>
      <w:r>
        <w:rPr>
          <w:noProof/>
        </w:rPr>
        <w:drawing>
          <wp:inline distT="0" distB="0" distL="0" distR="0" wp14:anchorId="337BB6B2" wp14:editId="2C1C9D89">
            <wp:extent cx="4846969" cy="1960572"/>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46969" cy="1960572"/>
                    </a:xfrm>
                    <a:prstGeom prst="rect">
                      <a:avLst/>
                    </a:prstGeom>
                    <a:ln/>
                  </pic:spPr>
                </pic:pic>
              </a:graphicData>
            </a:graphic>
          </wp:inline>
        </w:drawing>
      </w:r>
    </w:p>
    <w:p w14:paraId="374461D0" w14:textId="77777777" w:rsidR="009C4C52" w:rsidRDefault="00647E5F">
      <w:pPr>
        <w:rPr>
          <w:rFonts w:ascii="Century Gothic" w:eastAsia="Century Gothic" w:hAnsi="Century Gothic" w:cs="Century Gothic"/>
        </w:rPr>
      </w:pPr>
      <w:r>
        <w:rPr>
          <w:noProof/>
        </w:rPr>
        <mc:AlternateContent>
          <mc:Choice Requires="wpg">
            <w:drawing>
              <wp:anchor distT="0" distB="0" distL="114300" distR="114300" simplePos="0" relativeHeight="251658240" behindDoc="0" locked="0" layoutInCell="1" hidden="0" allowOverlap="1" wp14:anchorId="60D46690" wp14:editId="4F6F7B54">
                <wp:simplePos x="0" y="0"/>
                <wp:positionH relativeFrom="column">
                  <wp:posOffset>1092200</wp:posOffset>
                </wp:positionH>
                <wp:positionV relativeFrom="paragraph">
                  <wp:posOffset>177800</wp:posOffset>
                </wp:positionV>
                <wp:extent cx="4210050" cy="419100"/>
                <wp:effectExtent l="0" t="0" r="0" b="0"/>
                <wp:wrapNone/>
                <wp:docPr id="9" name="Rectangle 9"/>
                <wp:cNvGraphicFramePr/>
                <a:graphic xmlns:a="http://schemas.openxmlformats.org/drawingml/2006/main">
                  <a:graphicData uri="http://schemas.microsoft.com/office/word/2010/wordprocessingShape">
                    <wps:wsp>
                      <wps:cNvSpPr/>
                      <wps:spPr>
                        <a:xfrm>
                          <a:off x="3245738" y="3575213"/>
                          <a:ext cx="4200525" cy="4095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53FF44A" w14:textId="77777777" w:rsidR="009C4C52" w:rsidRDefault="00647E5F">
                            <w:pPr>
                              <w:spacing w:line="258" w:lineRule="auto"/>
                              <w:jc w:val="center"/>
                              <w:textDirection w:val="btLr"/>
                            </w:pPr>
                            <w:r>
                              <w:rPr>
                                <w:rFonts w:ascii="Century Gothic" w:eastAsia="Century Gothic" w:hAnsi="Century Gothic" w:cs="Century Gothic"/>
                                <w:b/>
                                <w:color w:val="000000"/>
                                <w:sz w:val="24"/>
                              </w:rPr>
                              <w:t>Profiling and Reporting in Early Learning and Childcare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1092200</wp:posOffset>
                </wp:positionH>
                <wp:positionV relativeFrom="paragraph">
                  <wp:posOffset>177800</wp:posOffset>
                </wp:positionV>
                <wp:extent cx="4210050" cy="4191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210050" cy="419100"/>
                        </a:xfrm>
                        <a:prstGeom prst="rect"/>
                        <a:ln/>
                      </pic:spPr>
                    </pic:pic>
                  </a:graphicData>
                </a:graphic>
              </wp:anchor>
            </w:drawing>
          </mc:Fallback>
        </mc:AlternateContent>
      </w:r>
    </w:p>
    <w:p w14:paraId="55693729" w14:textId="77777777" w:rsidR="009C4C52" w:rsidRDefault="009C4C52">
      <w:pPr>
        <w:rPr>
          <w:rFonts w:ascii="Century Gothic" w:eastAsia="Century Gothic" w:hAnsi="Century Gothic" w:cs="Century Gothic"/>
        </w:rPr>
      </w:pPr>
    </w:p>
    <w:p w14:paraId="0C16AF26" w14:textId="77777777" w:rsidR="009C4C52" w:rsidRDefault="009C4C52">
      <w:pPr>
        <w:rPr>
          <w:rFonts w:ascii="Century Gothic" w:eastAsia="Century Gothic" w:hAnsi="Century Gothic" w:cs="Century Gothic"/>
        </w:rPr>
      </w:pPr>
    </w:p>
    <w:p w14:paraId="5D4A0132" w14:textId="77777777" w:rsidR="009C4C52" w:rsidRDefault="00647E5F">
      <w:pPr>
        <w:rPr>
          <w:rFonts w:ascii="Century Gothic" w:eastAsia="Century Gothic" w:hAnsi="Century Gothic" w:cs="Century Gothic"/>
          <w:sz w:val="24"/>
          <w:szCs w:val="24"/>
        </w:rPr>
      </w:pPr>
      <w:r>
        <w:rPr>
          <w:rFonts w:ascii="Century Gothic" w:eastAsia="Century Gothic" w:hAnsi="Century Gothic" w:cs="Century Gothic"/>
          <w:sz w:val="24"/>
          <w:szCs w:val="24"/>
        </w:rPr>
        <w:t>Effective Profiling in Highland is owned by the learner and involves/ includes:</w:t>
      </w:r>
    </w:p>
    <w:p w14:paraId="7B1CC46F" w14:textId="5DF9AB36" w:rsidR="009C4C52" w:rsidRDefault="00647E5F">
      <w:pPr>
        <w:rPr>
          <w:rFonts w:ascii="Century Gothic" w:eastAsia="Century Gothic" w:hAnsi="Century Gothic" w:cs="Century Gothic"/>
        </w:rPr>
      </w:pPr>
      <w:r>
        <w:rPr>
          <w:rFonts w:ascii="Century Gothic" w:eastAsia="Century Gothic" w:hAnsi="Century Gothic" w:cs="Century Gothic"/>
        </w:rPr>
        <w:t xml:space="preserve"> </w:t>
      </w:r>
      <w:r>
        <w:rPr>
          <w:rFonts w:ascii="Symbol" w:eastAsia="Symbol" w:hAnsi="Symbol" w:cs="Symbol"/>
        </w:rPr>
        <w:t>∙</w:t>
      </w:r>
      <w:r>
        <w:rPr>
          <w:rFonts w:ascii="Century Gothic" w:eastAsia="Century Gothic" w:hAnsi="Century Gothic" w:cs="Century Gothic"/>
        </w:rPr>
        <w:t xml:space="preserve"> a </w:t>
      </w:r>
      <w:r w:rsidR="004852D8">
        <w:rPr>
          <w:rFonts w:ascii="Century Gothic" w:eastAsia="Century Gothic" w:hAnsi="Century Gothic" w:cs="Century Gothic"/>
        </w:rPr>
        <w:t>play-based</w:t>
      </w:r>
      <w:r>
        <w:rPr>
          <w:rFonts w:ascii="Century Gothic" w:eastAsia="Century Gothic" w:hAnsi="Century Gothic" w:cs="Century Gothic"/>
        </w:rPr>
        <w:t xml:space="preserve"> curriculum which meets the needs of all children, driven by children’s interests</w:t>
      </w:r>
    </w:p>
    <w:p w14:paraId="19A8DE66"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w:t>
      </w:r>
      <w:r>
        <w:rPr>
          <w:rFonts w:ascii="Symbol" w:eastAsia="Symbol" w:hAnsi="Symbol" w:cs="Symbol"/>
        </w:rPr>
        <w:t>∙</w:t>
      </w:r>
      <w:r>
        <w:rPr>
          <w:rFonts w:ascii="Century Gothic" w:eastAsia="Century Gothic" w:hAnsi="Century Gothic" w:cs="Century Gothic"/>
        </w:rPr>
        <w:t xml:space="preserve"> high quality observations based on key learning which evidence progress</w:t>
      </w:r>
    </w:p>
    <w:p w14:paraId="7E689D22"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w:t>
      </w:r>
      <w:r>
        <w:rPr>
          <w:rFonts w:ascii="Symbol" w:eastAsia="Symbol" w:hAnsi="Symbol" w:cs="Symbol"/>
        </w:rPr>
        <w:t>∙</w:t>
      </w:r>
      <w:r>
        <w:rPr>
          <w:rFonts w:ascii="Century Gothic" w:eastAsia="Century Gothic" w:hAnsi="Century Gothic" w:cs="Century Gothic"/>
        </w:rPr>
        <w:t xml:space="preserve"> learning conversations which identify next steps/personal targets</w:t>
      </w:r>
    </w:p>
    <w:p w14:paraId="0E611665"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w:t>
      </w:r>
      <w:r>
        <w:rPr>
          <w:rFonts w:ascii="Symbol" w:eastAsia="Symbol" w:hAnsi="Symbol" w:cs="Symbol"/>
        </w:rPr>
        <w:t>∙</w:t>
      </w:r>
      <w:r>
        <w:rPr>
          <w:rFonts w:ascii="Century Gothic" w:eastAsia="Century Gothic" w:hAnsi="Century Gothic" w:cs="Century Gothic"/>
        </w:rPr>
        <w:t xml:space="preserve"> family engagement in children’s development and learning, impacting positively on the progress children make</w:t>
      </w:r>
    </w:p>
    <w:p w14:paraId="343583BB" w14:textId="251372CF" w:rsidR="004852D8" w:rsidRDefault="00647E5F">
      <w:pPr>
        <w:rPr>
          <w:rFonts w:ascii="Century Gothic" w:eastAsia="Century Gothic" w:hAnsi="Century Gothic" w:cs="Century Gothic"/>
        </w:rPr>
      </w:pPr>
      <w:r>
        <w:rPr>
          <w:rFonts w:ascii="Century Gothic" w:eastAsia="Century Gothic" w:hAnsi="Century Gothic" w:cs="Century Gothic"/>
        </w:rPr>
        <w:t xml:space="preserve"> </w:t>
      </w:r>
      <w:r>
        <w:rPr>
          <w:rFonts w:ascii="Symbol" w:eastAsia="Symbol" w:hAnsi="Symbol" w:cs="Symbol"/>
        </w:rPr>
        <w:t>∙</w:t>
      </w:r>
      <w:r>
        <w:rPr>
          <w:rFonts w:ascii="Century Gothic" w:eastAsia="Century Gothic" w:hAnsi="Century Gothic" w:cs="Century Gothic"/>
        </w:rPr>
        <w:t xml:space="preserve"> recognition and celebration of wider achievement – joining up the dots between Early Learning and Childcare (ELC) settings and home.</w:t>
      </w:r>
    </w:p>
    <w:p w14:paraId="762824C5" w14:textId="77777777" w:rsidR="004852D8" w:rsidRPr="004852D8" w:rsidRDefault="004852D8">
      <w:pPr>
        <w:rPr>
          <w:rFonts w:ascii="Century Gothic" w:eastAsia="Century Gothic" w:hAnsi="Century Gothic" w:cs="Century Gothic"/>
        </w:rPr>
      </w:pPr>
    </w:p>
    <w:p w14:paraId="65DC1C20" w14:textId="77777777" w:rsidR="009C4C52" w:rsidRDefault="00647E5F">
      <w:pPr>
        <w:rPr>
          <w:rFonts w:ascii="Century Gothic" w:eastAsia="Century Gothic" w:hAnsi="Century Gothic" w:cs="Century Gothic"/>
          <w:sz w:val="24"/>
          <w:szCs w:val="24"/>
        </w:rPr>
      </w:pPr>
      <w:r>
        <w:rPr>
          <w:rFonts w:ascii="Century Gothic" w:eastAsia="Century Gothic" w:hAnsi="Century Gothic" w:cs="Century Gothic"/>
          <w:sz w:val="24"/>
          <w:szCs w:val="24"/>
        </w:rPr>
        <w:t>The Profile is owned by the learner and should include:</w:t>
      </w:r>
    </w:p>
    <w:p w14:paraId="482FEB04"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1. Being Me! (All About Me) – including personal information about the learner and their interests</w:t>
      </w:r>
    </w:p>
    <w:p w14:paraId="7157C7CD"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2. Developmental Overviews – informed by observation</w:t>
      </w:r>
    </w:p>
    <w:p w14:paraId="4F98EB06"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3. Next Steps/Personal Targets </w:t>
      </w:r>
      <w:r>
        <w:rPr>
          <w:rFonts w:ascii="Century Gothic" w:eastAsia="Century Gothic" w:hAnsi="Century Gothic" w:cs="Century Gothic"/>
          <w:highlight w:val="white"/>
        </w:rPr>
        <w:t xml:space="preserve">– </w:t>
      </w:r>
      <w:r>
        <w:rPr>
          <w:rFonts w:ascii="Century Gothic" w:eastAsia="Century Gothic" w:hAnsi="Century Gothic" w:cs="Century Gothic"/>
        </w:rPr>
        <w:t>which are identified by learners through learning conversations</w:t>
      </w:r>
    </w:p>
    <w:p w14:paraId="0CB814CC" w14:textId="77777777" w:rsidR="004852D8" w:rsidRDefault="00647E5F">
      <w:pPr>
        <w:rPr>
          <w:rFonts w:ascii="Century Gothic" w:eastAsia="Century Gothic" w:hAnsi="Century Gothic" w:cs="Century Gothic"/>
        </w:rPr>
      </w:pPr>
      <w:r>
        <w:rPr>
          <w:rFonts w:ascii="Century Gothic" w:eastAsia="Century Gothic" w:hAnsi="Century Gothic" w:cs="Century Gothic"/>
        </w:rPr>
        <w:lastRenderedPageBreak/>
        <w:t xml:space="preserve"> </w:t>
      </w:r>
    </w:p>
    <w:p w14:paraId="387D2038" w14:textId="29A3AA0F" w:rsidR="009C4C52" w:rsidRDefault="00647E5F">
      <w:pPr>
        <w:rPr>
          <w:rFonts w:ascii="Century Gothic" w:eastAsia="Century Gothic" w:hAnsi="Century Gothic" w:cs="Century Gothic"/>
        </w:rPr>
      </w:pPr>
      <w:r>
        <w:rPr>
          <w:rFonts w:ascii="Century Gothic" w:eastAsia="Century Gothic" w:hAnsi="Century Gothic" w:cs="Century Gothic"/>
        </w:rPr>
        <w:t xml:space="preserve">4. </w:t>
      </w:r>
      <w:r w:rsidR="00B20984">
        <w:rPr>
          <w:rFonts w:ascii="Century Gothic" w:eastAsia="Century Gothic" w:hAnsi="Century Gothic" w:cs="Century Gothic"/>
        </w:rPr>
        <w:t>Quality</w:t>
      </w:r>
      <w:r>
        <w:rPr>
          <w:rFonts w:ascii="Century Gothic" w:eastAsia="Century Gothic" w:hAnsi="Century Gothic" w:cs="Century Gothic"/>
        </w:rPr>
        <w:t xml:space="preserve"> Observations – which identify the knowledge and skills which learners develop across the curriculum</w:t>
      </w:r>
    </w:p>
    <w:p w14:paraId="3349D26C" w14:textId="77777777" w:rsidR="009C4C52" w:rsidRDefault="00647E5F">
      <w:pPr>
        <w:rPr>
          <w:rFonts w:ascii="Century Gothic" w:eastAsia="Century Gothic" w:hAnsi="Century Gothic" w:cs="Century Gothic"/>
        </w:rPr>
      </w:pPr>
      <w:r>
        <w:rPr>
          <w:rFonts w:ascii="Century Gothic" w:eastAsia="Century Gothic" w:hAnsi="Century Gothic" w:cs="Century Gothic"/>
        </w:rPr>
        <w:t xml:space="preserve"> 5. Wider Achievements – detailing the achievements out with the ELC setting, at home or in the wider community.</w:t>
      </w:r>
    </w:p>
    <w:p w14:paraId="321A370D" w14:textId="77777777" w:rsidR="009C4C52" w:rsidRDefault="00647E5F">
      <w:r>
        <w:t>_____________________________________________________________________________________________</w:t>
      </w:r>
    </w:p>
    <w:p w14:paraId="32BEC1F1" w14:textId="6149EC1D" w:rsidR="009C4C52" w:rsidRDefault="00647E5F">
      <w:pPr>
        <w:rPr>
          <w:rFonts w:ascii="Century Gothic" w:eastAsia="Century Gothic" w:hAnsi="Century Gothic" w:cs="Century Gothic"/>
        </w:rPr>
      </w:pPr>
      <w:r>
        <w:rPr>
          <w:rFonts w:ascii="Century Gothic" w:eastAsia="Century Gothic" w:hAnsi="Century Gothic" w:cs="Century Gothic"/>
        </w:rPr>
        <w:t xml:space="preserve">Progress in learning will be shared with families through </w:t>
      </w:r>
      <w:proofErr w:type="gramStart"/>
      <w:r>
        <w:rPr>
          <w:rFonts w:ascii="Century Gothic" w:eastAsia="Century Gothic" w:hAnsi="Century Gothic" w:cs="Century Gothic"/>
        </w:rPr>
        <w:t>a number of</w:t>
      </w:r>
      <w:proofErr w:type="gramEnd"/>
      <w:r>
        <w:rPr>
          <w:rFonts w:ascii="Century Gothic" w:eastAsia="Century Gothic" w:hAnsi="Century Gothic" w:cs="Century Gothic"/>
        </w:rPr>
        <w:t xml:space="preserve"> individual and group opportunities. Early Learning and Childcare (ELC) settings should work with their community to identify the most appropriate ways of engaging families. Outlined below are some of the examples of engagement currently offered by ELC settings.</w:t>
      </w:r>
    </w:p>
    <w:p w14:paraId="5B231AAF" w14:textId="6BF4103D" w:rsidR="009C4C52" w:rsidRDefault="009C4C52">
      <w:pPr>
        <w:spacing w:line="240" w:lineRule="auto"/>
        <w:rPr>
          <w:rFonts w:ascii="Century Gothic" w:eastAsia="Century Gothic" w:hAnsi="Century Gothic" w:cs="Century Gothic"/>
        </w:rPr>
      </w:pPr>
    </w:p>
    <w:tbl>
      <w:tblPr>
        <w:tblStyle w:val="a"/>
        <w:tblW w:w="10725" w:type="dxa"/>
        <w:tblBorders>
          <w:top w:val="nil"/>
          <w:left w:val="nil"/>
          <w:bottom w:val="nil"/>
          <w:right w:val="nil"/>
          <w:insideH w:val="nil"/>
          <w:insideV w:val="nil"/>
        </w:tblBorders>
        <w:tblLayout w:type="fixed"/>
        <w:tblLook w:val="0600" w:firstRow="0" w:lastRow="0" w:firstColumn="0" w:lastColumn="0" w:noHBand="1" w:noVBand="1"/>
      </w:tblPr>
      <w:tblGrid>
        <w:gridCol w:w="3465"/>
        <w:gridCol w:w="3480"/>
        <w:gridCol w:w="3780"/>
      </w:tblGrid>
      <w:tr w:rsidR="009C4C52" w14:paraId="194112AA" w14:textId="77777777">
        <w:trPr>
          <w:trHeight w:val="1340"/>
        </w:trPr>
        <w:tc>
          <w:tcPr>
            <w:tcW w:w="3465" w:type="dxa"/>
            <w:tcBorders>
              <w:top w:val="single" w:sz="8" w:space="0" w:color="000000"/>
              <w:left w:val="single" w:sz="8" w:space="0" w:color="000000"/>
              <w:bottom w:val="single" w:sz="8" w:space="0" w:color="000000"/>
              <w:right w:val="single" w:sz="8" w:space="0" w:color="000000"/>
            </w:tcBorders>
            <w:shd w:val="clear" w:color="auto" w:fill="9966FF"/>
            <w:tcMar>
              <w:top w:w="100" w:type="dxa"/>
              <w:left w:w="100" w:type="dxa"/>
              <w:bottom w:w="100" w:type="dxa"/>
              <w:right w:w="100" w:type="dxa"/>
            </w:tcMar>
          </w:tcPr>
          <w:p w14:paraId="6CC38722" w14:textId="77777777" w:rsidR="009C4C52" w:rsidRDefault="00647E5F">
            <w:pPr>
              <w:spacing w:before="240" w:after="0" w:line="240" w:lineRule="auto"/>
              <w:rPr>
                <w:b/>
                <w:sz w:val="32"/>
                <w:szCs w:val="32"/>
              </w:rPr>
            </w:pPr>
            <w:r>
              <w:rPr>
                <w:b/>
                <w:sz w:val="32"/>
                <w:szCs w:val="32"/>
              </w:rPr>
              <w:t>Individual Reporting Opportunities</w:t>
            </w:r>
          </w:p>
        </w:tc>
        <w:tc>
          <w:tcPr>
            <w:tcW w:w="7260" w:type="dxa"/>
            <w:gridSpan w:val="2"/>
            <w:tcBorders>
              <w:top w:val="single" w:sz="8" w:space="0" w:color="000000"/>
              <w:left w:val="nil"/>
              <w:bottom w:val="single" w:sz="8" w:space="0" w:color="000000"/>
              <w:right w:val="single" w:sz="8" w:space="0" w:color="000000"/>
            </w:tcBorders>
            <w:shd w:val="clear" w:color="auto" w:fill="9966FF"/>
            <w:tcMar>
              <w:top w:w="100" w:type="dxa"/>
              <w:left w:w="100" w:type="dxa"/>
              <w:bottom w:w="100" w:type="dxa"/>
              <w:right w:w="100" w:type="dxa"/>
            </w:tcMar>
          </w:tcPr>
          <w:p w14:paraId="24242235" w14:textId="77777777" w:rsidR="009C4C52" w:rsidRDefault="00647E5F">
            <w:pPr>
              <w:spacing w:before="240" w:after="0" w:line="240" w:lineRule="auto"/>
              <w:rPr>
                <w:b/>
                <w:sz w:val="32"/>
                <w:szCs w:val="32"/>
              </w:rPr>
            </w:pPr>
            <w:r>
              <w:rPr>
                <w:b/>
                <w:sz w:val="32"/>
                <w:szCs w:val="32"/>
              </w:rPr>
              <w:t>Whole School/Class/Group Reporting Opportunities</w:t>
            </w:r>
          </w:p>
        </w:tc>
      </w:tr>
      <w:tr w:rsidR="009C4C52" w14:paraId="04E42A78" w14:textId="77777777">
        <w:trPr>
          <w:trHeight w:val="1706"/>
        </w:trPr>
        <w:tc>
          <w:tcPr>
            <w:tcW w:w="3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5BB34" w14:textId="77777777" w:rsidR="009C4C52" w:rsidRDefault="00647E5F">
            <w:pPr>
              <w:spacing w:before="240" w:after="0" w:line="240" w:lineRule="auto"/>
              <w:rPr>
                <w:b/>
                <w:i/>
                <w:sz w:val="26"/>
                <w:szCs w:val="26"/>
              </w:rPr>
            </w:pPr>
            <w:r>
              <w:rPr>
                <w:b/>
                <w:i/>
                <w:sz w:val="26"/>
                <w:szCs w:val="26"/>
              </w:rPr>
              <w:t>Family meetings which share children’s progress and next steps/targets</w:t>
            </w:r>
          </w:p>
        </w:tc>
        <w:tc>
          <w:tcPr>
            <w:tcW w:w="3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9BA39D" w14:textId="77777777" w:rsidR="009C4C52" w:rsidRDefault="00647E5F">
            <w:pPr>
              <w:spacing w:before="240" w:after="0" w:line="240" w:lineRule="auto"/>
              <w:rPr>
                <w:b/>
                <w:i/>
                <w:sz w:val="26"/>
                <w:szCs w:val="26"/>
              </w:rPr>
            </w:pPr>
            <w:r>
              <w:rPr>
                <w:b/>
                <w:i/>
                <w:sz w:val="26"/>
                <w:szCs w:val="26"/>
              </w:rPr>
              <w:t>Curriculum Information sessions, e.g. early literacy and numeracy workshops</w:t>
            </w:r>
          </w:p>
        </w:tc>
        <w:tc>
          <w:tcPr>
            <w:tcW w:w="3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0A343" w14:textId="7FBA61DC" w:rsidR="009C4C52" w:rsidRDefault="00647E5F">
            <w:pPr>
              <w:spacing w:before="240" w:after="0" w:line="240" w:lineRule="auto"/>
              <w:rPr>
                <w:b/>
                <w:i/>
                <w:sz w:val="26"/>
                <w:szCs w:val="26"/>
              </w:rPr>
            </w:pPr>
            <w:r>
              <w:rPr>
                <w:b/>
                <w:i/>
                <w:sz w:val="26"/>
                <w:szCs w:val="26"/>
              </w:rPr>
              <w:t>Class blogs/school website/</w:t>
            </w:r>
            <w:r w:rsidR="00CE7F9D">
              <w:rPr>
                <w:b/>
                <w:i/>
                <w:sz w:val="26"/>
                <w:szCs w:val="26"/>
              </w:rPr>
              <w:t>online platforms</w:t>
            </w:r>
          </w:p>
        </w:tc>
      </w:tr>
      <w:tr w:rsidR="009C4C52" w14:paraId="7A69A086" w14:textId="77777777">
        <w:trPr>
          <w:trHeight w:val="1535"/>
        </w:trPr>
        <w:tc>
          <w:tcPr>
            <w:tcW w:w="3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DEB00" w14:textId="77777777" w:rsidR="009C4C52" w:rsidRDefault="00647E5F">
            <w:pPr>
              <w:spacing w:before="240" w:after="0" w:line="240" w:lineRule="auto"/>
              <w:rPr>
                <w:b/>
                <w:i/>
                <w:sz w:val="26"/>
                <w:szCs w:val="26"/>
              </w:rPr>
            </w:pPr>
            <w:r>
              <w:rPr>
                <w:b/>
                <w:i/>
                <w:sz w:val="26"/>
                <w:szCs w:val="26"/>
              </w:rPr>
              <w:t>Regular opportunities for children to share their profile with their family</w:t>
            </w:r>
          </w:p>
        </w:tc>
        <w:tc>
          <w:tcPr>
            <w:tcW w:w="3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F31F8" w14:textId="3640236A" w:rsidR="00C95501" w:rsidRDefault="00647E5F" w:rsidP="00C01BE3">
            <w:pPr>
              <w:spacing w:before="240" w:after="0" w:line="240" w:lineRule="auto"/>
              <w:rPr>
                <w:b/>
                <w:i/>
                <w:sz w:val="26"/>
                <w:szCs w:val="26"/>
              </w:rPr>
            </w:pPr>
            <w:r>
              <w:rPr>
                <w:b/>
                <w:i/>
                <w:sz w:val="26"/>
                <w:szCs w:val="26"/>
              </w:rPr>
              <w:t>Learning</w:t>
            </w:r>
            <w:r w:rsidR="00C95501">
              <w:rPr>
                <w:b/>
                <w:i/>
                <w:sz w:val="26"/>
                <w:szCs w:val="26"/>
              </w:rPr>
              <w:t xml:space="preserve"> </w:t>
            </w:r>
            <w:r>
              <w:rPr>
                <w:b/>
                <w:i/>
                <w:sz w:val="26"/>
                <w:szCs w:val="26"/>
              </w:rPr>
              <w:t>walls/Floorbooks</w:t>
            </w:r>
            <w:r w:rsidR="00CE7F9D">
              <w:rPr>
                <w:b/>
                <w:i/>
                <w:sz w:val="26"/>
                <w:szCs w:val="26"/>
              </w:rPr>
              <w:t>/</w:t>
            </w:r>
          </w:p>
          <w:p w14:paraId="226D3BB0" w14:textId="50644D1D" w:rsidR="009C4C52" w:rsidRDefault="00CE7F9D" w:rsidP="0042739A">
            <w:pPr>
              <w:spacing w:after="0" w:line="240" w:lineRule="auto"/>
              <w:rPr>
                <w:b/>
                <w:i/>
                <w:sz w:val="26"/>
                <w:szCs w:val="26"/>
              </w:rPr>
            </w:pPr>
            <w:r>
              <w:rPr>
                <w:b/>
                <w:i/>
                <w:sz w:val="26"/>
                <w:szCs w:val="26"/>
              </w:rPr>
              <w:t>displays</w:t>
            </w:r>
          </w:p>
        </w:tc>
        <w:tc>
          <w:tcPr>
            <w:tcW w:w="3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79CDD" w14:textId="77777777" w:rsidR="009C4C52" w:rsidRDefault="00647E5F">
            <w:pPr>
              <w:spacing w:before="240" w:after="0" w:line="240" w:lineRule="auto"/>
              <w:rPr>
                <w:b/>
                <w:i/>
                <w:sz w:val="26"/>
                <w:szCs w:val="26"/>
              </w:rPr>
            </w:pPr>
            <w:r>
              <w:rPr>
                <w:b/>
                <w:i/>
                <w:sz w:val="26"/>
                <w:szCs w:val="26"/>
              </w:rPr>
              <w:t>Newsletters</w:t>
            </w:r>
          </w:p>
        </w:tc>
      </w:tr>
      <w:tr w:rsidR="009C4C52" w14:paraId="44009EE4" w14:textId="77777777">
        <w:trPr>
          <w:trHeight w:val="1205"/>
        </w:trPr>
        <w:tc>
          <w:tcPr>
            <w:tcW w:w="3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03781" w14:textId="77777777" w:rsidR="009C4C52" w:rsidRDefault="00647E5F">
            <w:pPr>
              <w:spacing w:before="240" w:after="0" w:line="240" w:lineRule="auto"/>
              <w:rPr>
                <w:b/>
                <w:i/>
                <w:sz w:val="26"/>
                <w:szCs w:val="26"/>
              </w:rPr>
            </w:pPr>
            <w:r>
              <w:rPr>
                <w:b/>
                <w:i/>
                <w:sz w:val="26"/>
                <w:szCs w:val="26"/>
              </w:rPr>
              <w:t>‘Stay, Play and Learn’ sessions which allow for individual dialogue</w:t>
            </w:r>
          </w:p>
        </w:tc>
        <w:tc>
          <w:tcPr>
            <w:tcW w:w="3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E2F65" w14:textId="4282217D" w:rsidR="009C4C52" w:rsidRDefault="00647E5F">
            <w:pPr>
              <w:spacing w:before="240" w:after="0" w:line="240" w:lineRule="auto"/>
              <w:rPr>
                <w:b/>
                <w:i/>
                <w:sz w:val="26"/>
                <w:szCs w:val="26"/>
              </w:rPr>
            </w:pPr>
            <w:r>
              <w:rPr>
                <w:b/>
                <w:i/>
                <w:sz w:val="26"/>
                <w:szCs w:val="26"/>
              </w:rPr>
              <w:t>Family volunteering</w:t>
            </w:r>
            <w:r w:rsidR="000B2861">
              <w:rPr>
                <w:b/>
                <w:i/>
                <w:sz w:val="26"/>
                <w:szCs w:val="26"/>
              </w:rPr>
              <w:t>*</w:t>
            </w:r>
            <w:r>
              <w:rPr>
                <w:b/>
                <w:i/>
                <w:sz w:val="26"/>
                <w:szCs w:val="26"/>
              </w:rPr>
              <w:t xml:space="preserve"> and ‘Stay, Play and Learn’ sessions</w:t>
            </w:r>
          </w:p>
        </w:tc>
        <w:tc>
          <w:tcPr>
            <w:tcW w:w="3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D263B" w14:textId="77777777" w:rsidR="009C4C52" w:rsidRDefault="00647E5F">
            <w:pPr>
              <w:spacing w:before="240" w:after="0" w:line="240" w:lineRule="auto"/>
              <w:rPr>
                <w:b/>
                <w:i/>
                <w:sz w:val="26"/>
                <w:szCs w:val="26"/>
              </w:rPr>
            </w:pPr>
            <w:r>
              <w:rPr>
                <w:b/>
                <w:i/>
                <w:sz w:val="26"/>
                <w:szCs w:val="26"/>
              </w:rPr>
              <w:t>ELC showcasing the learning events</w:t>
            </w:r>
          </w:p>
        </w:tc>
      </w:tr>
    </w:tbl>
    <w:p w14:paraId="66DC7B86" w14:textId="77777777" w:rsidR="009C4C52" w:rsidRDefault="009C4C52">
      <w:pPr>
        <w:rPr>
          <w:rFonts w:ascii="Century Gothic" w:eastAsia="Century Gothic" w:hAnsi="Century Gothic" w:cs="Century Gothic"/>
        </w:rPr>
      </w:pPr>
    </w:p>
    <w:p w14:paraId="0E6D3BFA" w14:textId="77777777" w:rsidR="000B2861" w:rsidRDefault="000B2861">
      <w:pPr>
        <w:rPr>
          <w:rFonts w:ascii="Century Gothic" w:eastAsia="Century Gothic" w:hAnsi="Century Gothic" w:cs="Century Gothic"/>
        </w:rPr>
      </w:pPr>
    </w:p>
    <w:p w14:paraId="6ECB28A7" w14:textId="349764A2" w:rsidR="000B2861" w:rsidRPr="00B81B1B" w:rsidRDefault="00B81B1B" w:rsidP="00B81B1B">
      <w:pPr>
        <w:rPr>
          <w:rFonts w:ascii="Century Gothic" w:eastAsia="Century Gothic" w:hAnsi="Century Gothic" w:cs="Century Gothic"/>
        </w:rPr>
      </w:pPr>
      <w:r>
        <w:rPr>
          <w:rFonts w:ascii="Century Gothic" w:eastAsia="Century Gothic" w:hAnsi="Century Gothic" w:cs="Century Gothic"/>
        </w:rPr>
        <w:t>*</w:t>
      </w:r>
      <w:r w:rsidRPr="00B81B1B">
        <w:rPr>
          <w:rFonts w:ascii="Century Gothic" w:eastAsia="Century Gothic" w:hAnsi="Century Gothic" w:cs="Century Gothic"/>
        </w:rPr>
        <w:t>Family volunteering</w:t>
      </w:r>
      <w:r w:rsidR="00A3264D">
        <w:rPr>
          <w:rFonts w:ascii="Century Gothic" w:eastAsia="Century Gothic" w:hAnsi="Century Gothic" w:cs="Century Gothic"/>
        </w:rPr>
        <w:t xml:space="preserve"> – please ensure you comply with the </w:t>
      </w:r>
      <w:r w:rsidR="006767DD">
        <w:rPr>
          <w:rFonts w:ascii="Century Gothic" w:eastAsia="Century Gothic" w:hAnsi="Century Gothic" w:cs="Century Gothic"/>
        </w:rPr>
        <w:t>PVG requirements. For more information see the PVG Guidance for Schools and Parent Councils (June 2025)</w:t>
      </w:r>
      <w:r w:rsidRPr="00B81B1B">
        <w:rPr>
          <w:rFonts w:ascii="Century Gothic" w:eastAsia="Century Gothic" w:hAnsi="Century Gothic" w:cs="Century Gothic"/>
        </w:rPr>
        <w:t xml:space="preserve"> </w:t>
      </w:r>
    </w:p>
    <w:sectPr w:rsidR="000B2861" w:rsidRPr="00B81B1B">
      <w:headerReference w:type="default" r:id="rId10"/>
      <w:pgSz w:w="11906" w:h="16838"/>
      <w:pgMar w:top="1440" w:right="566"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1D73" w14:textId="77777777" w:rsidR="008D02FB" w:rsidRDefault="008D02FB">
      <w:pPr>
        <w:spacing w:after="0" w:line="240" w:lineRule="auto"/>
      </w:pPr>
      <w:r>
        <w:separator/>
      </w:r>
    </w:p>
  </w:endnote>
  <w:endnote w:type="continuationSeparator" w:id="0">
    <w:p w14:paraId="00CA3518" w14:textId="77777777" w:rsidR="008D02FB" w:rsidRDefault="008D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7091" w14:textId="77777777" w:rsidR="008D02FB" w:rsidRDefault="008D02FB">
      <w:pPr>
        <w:spacing w:after="0" w:line="240" w:lineRule="auto"/>
      </w:pPr>
      <w:r>
        <w:separator/>
      </w:r>
    </w:p>
  </w:footnote>
  <w:footnote w:type="continuationSeparator" w:id="0">
    <w:p w14:paraId="27625703" w14:textId="77777777" w:rsidR="008D02FB" w:rsidRDefault="008D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1F96" w14:textId="77777777" w:rsidR="009C4C52" w:rsidRDefault="00647E5F">
    <w:pPr>
      <w:pBdr>
        <w:top w:val="nil"/>
        <w:left w:val="nil"/>
        <w:bottom w:val="nil"/>
        <w:right w:val="nil"/>
        <w:between w:val="nil"/>
      </w:pBdr>
      <w:tabs>
        <w:tab w:val="center" w:pos="4513"/>
        <w:tab w:val="right" w:pos="9026"/>
      </w:tabs>
      <w:spacing w:after="0" w:line="240" w:lineRule="auto"/>
      <w:jc w:val="right"/>
      <w:rPr>
        <w:rFonts w:ascii="Century Gothic" w:eastAsia="Century Gothic" w:hAnsi="Century Gothic" w:cs="Century Gothic"/>
        <w:b/>
        <w:color w:val="000000"/>
      </w:rPr>
    </w:pPr>
    <w:r>
      <w:rPr>
        <w:rFonts w:ascii="Century Gothic" w:eastAsia="Century Gothic" w:hAnsi="Century Gothic" w:cs="Century Gothic"/>
        <w:b/>
        <w:color w:val="000000"/>
      </w:rPr>
      <w:t xml:space="preserve">Highland Council </w:t>
    </w:r>
    <w:r>
      <w:rPr>
        <w:noProof/>
      </w:rPr>
      <w:drawing>
        <wp:anchor distT="0" distB="0" distL="114300" distR="114300" simplePos="0" relativeHeight="251658240" behindDoc="0" locked="0" layoutInCell="1" hidden="0" allowOverlap="1" wp14:anchorId="137B541E" wp14:editId="7D56C7E7">
          <wp:simplePos x="0" y="0"/>
          <wp:positionH relativeFrom="column">
            <wp:posOffset>-180974</wp:posOffset>
          </wp:positionH>
          <wp:positionV relativeFrom="paragraph">
            <wp:posOffset>-278129</wp:posOffset>
          </wp:positionV>
          <wp:extent cx="1419225" cy="74295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9225" cy="742950"/>
                  </a:xfrm>
                  <a:prstGeom prst="rect">
                    <a:avLst/>
                  </a:prstGeom>
                  <a:ln/>
                </pic:spPr>
              </pic:pic>
            </a:graphicData>
          </a:graphic>
        </wp:anchor>
      </w:drawing>
    </w:r>
  </w:p>
  <w:p w14:paraId="42F9AF4F" w14:textId="77777777" w:rsidR="009C4C52" w:rsidRDefault="00647E5F">
    <w:pPr>
      <w:pBdr>
        <w:top w:val="nil"/>
        <w:left w:val="nil"/>
        <w:bottom w:val="nil"/>
        <w:right w:val="nil"/>
        <w:between w:val="nil"/>
      </w:pBdr>
      <w:tabs>
        <w:tab w:val="center" w:pos="4513"/>
        <w:tab w:val="right" w:pos="9026"/>
      </w:tabs>
      <w:spacing w:after="0" w:line="240" w:lineRule="auto"/>
      <w:jc w:val="right"/>
      <w:rPr>
        <w:rFonts w:ascii="Century Gothic" w:eastAsia="Century Gothic" w:hAnsi="Century Gothic" w:cs="Century Gothic"/>
        <w:b/>
        <w:color w:val="000000"/>
      </w:rPr>
    </w:pPr>
    <w:r>
      <w:rPr>
        <w:rFonts w:ascii="Century Gothic" w:eastAsia="Century Gothic" w:hAnsi="Century Gothic" w:cs="Century Gothic"/>
        <w:b/>
        <w:color w:val="000000"/>
      </w:rPr>
      <w:t xml:space="preserve">Early Years Profiling and Reporting Guidance </w:t>
    </w:r>
  </w:p>
  <w:p w14:paraId="7FC7403D" w14:textId="32D11C78" w:rsidR="009C4C52" w:rsidRDefault="00E13CD0">
    <w:pPr>
      <w:pBdr>
        <w:top w:val="nil"/>
        <w:left w:val="nil"/>
        <w:bottom w:val="nil"/>
        <w:right w:val="nil"/>
        <w:between w:val="nil"/>
      </w:pBdr>
      <w:tabs>
        <w:tab w:val="center" w:pos="4513"/>
        <w:tab w:val="right" w:pos="9026"/>
      </w:tabs>
      <w:spacing w:after="0" w:line="240" w:lineRule="auto"/>
      <w:jc w:val="right"/>
      <w:rPr>
        <w:rFonts w:ascii="Century Gothic" w:eastAsia="Century Gothic" w:hAnsi="Century Gothic" w:cs="Century Gothic"/>
        <w:b/>
        <w:color w:val="000000"/>
      </w:rPr>
    </w:pPr>
    <w:r>
      <w:rPr>
        <w:rFonts w:ascii="Century Gothic" w:eastAsia="Century Gothic" w:hAnsi="Century Gothic" w:cs="Century Gothic"/>
        <w:b/>
        <w:color w:val="000000"/>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6205"/>
    <w:multiLevelType w:val="hybridMultilevel"/>
    <w:tmpl w:val="617AFF9A"/>
    <w:lvl w:ilvl="0" w:tplc="EC8EC760">
      <w:start w:val="4"/>
      <w:numFmt w:val="bullet"/>
      <w:lvlText w:val=""/>
      <w:lvlJc w:val="left"/>
      <w:pPr>
        <w:ind w:left="720" w:hanging="360"/>
      </w:pPr>
      <w:rPr>
        <w:rFonts w:ascii="Symbol" w:eastAsia="Century Gothic" w:hAnsi="Symbol"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0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52"/>
    <w:rsid w:val="000B2861"/>
    <w:rsid w:val="0042739A"/>
    <w:rsid w:val="004852D8"/>
    <w:rsid w:val="00647E5F"/>
    <w:rsid w:val="006767DD"/>
    <w:rsid w:val="00701F18"/>
    <w:rsid w:val="00792737"/>
    <w:rsid w:val="008D02FB"/>
    <w:rsid w:val="00920468"/>
    <w:rsid w:val="009C4C52"/>
    <w:rsid w:val="00A323B6"/>
    <w:rsid w:val="00A3264D"/>
    <w:rsid w:val="00B00F8A"/>
    <w:rsid w:val="00B20984"/>
    <w:rsid w:val="00B81B1B"/>
    <w:rsid w:val="00C01BE3"/>
    <w:rsid w:val="00C95501"/>
    <w:rsid w:val="00CE7F9D"/>
    <w:rsid w:val="00E13CD0"/>
    <w:rsid w:val="00EF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7F74"/>
  <w15:docId w15:val="{E82808FC-0C5B-49DE-9522-C3AA24C3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811"/>
  </w:style>
  <w:style w:type="paragraph" w:styleId="Footer">
    <w:name w:val="footer"/>
    <w:basedOn w:val="Normal"/>
    <w:link w:val="FooterChar"/>
    <w:uiPriority w:val="99"/>
    <w:unhideWhenUsed/>
    <w:rsid w:val="00EC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81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NenQktc0zr1hzXQTgWUcA83wjQ==">AMUW2mWzaklKFBR0YQ5u4fS/Zuefxd3KhEgrWgwAvpLE7rB/OlUZUsUvJr90EpjO3sx8E0E7Es5nqDW/dRE+YGg5H4jivj81SNnC4cd75+VOLbg3PevLq74=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Drummond</dc:creator>
  <cp:lastModifiedBy>Clare Blair (Area Education South)</cp:lastModifiedBy>
  <cp:revision>14</cp:revision>
  <dcterms:created xsi:type="dcterms:W3CDTF">2025-07-02T10:20:00Z</dcterms:created>
  <dcterms:modified xsi:type="dcterms:W3CDTF">2025-07-02T10:46:00Z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